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8" w:rsidRPr="004B7E28" w:rsidRDefault="00994925" w:rsidP="004B7E28">
      <w:pPr>
        <w:spacing w:before="100" w:beforeAutospacing="1" w:after="225" w:line="300" w:lineRule="atLeast"/>
        <w:outlineLvl w:val="1"/>
        <w:rPr>
          <w:rFonts w:ascii="Trebuchet MS" w:eastAsia="Times New Roman" w:hAnsi="Trebuchet MS" w:cs="Arial"/>
          <w:b/>
          <w:bCs/>
          <w:color w:val="4F81BD" w:themeColor="accent1"/>
          <w:sz w:val="41"/>
          <w:szCs w:val="41"/>
          <w:lang w:val="en-US" w:eastAsia="it-IT"/>
        </w:rPr>
      </w:pPr>
      <w:r w:rsidRPr="00270A2C">
        <w:rPr>
          <w:rFonts w:ascii="Trebuchet MS" w:eastAsia="Times New Roman" w:hAnsi="Trebuchet MS" w:cs="Arial"/>
          <w:b/>
          <w:bCs/>
          <w:color w:val="4F81BD" w:themeColor="accent1"/>
          <w:sz w:val="41"/>
          <w:szCs w:val="41"/>
          <w:lang w:val="en-US" w:eastAsia="it-IT"/>
        </w:rPr>
        <w:t xml:space="preserve">US University </w:t>
      </w:r>
      <w:r w:rsidR="004B7E28" w:rsidRPr="004B7E28">
        <w:rPr>
          <w:rFonts w:ascii="Trebuchet MS" w:eastAsia="Times New Roman" w:hAnsi="Trebuchet MS" w:cs="Arial"/>
          <w:b/>
          <w:bCs/>
          <w:color w:val="4F81BD" w:themeColor="accent1"/>
          <w:sz w:val="41"/>
          <w:szCs w:val="41"/>
          <w:lang w:val="en-US" w:eastAsia="it-IT"/>
        </w:rPr>
        <w:t xml:space="preserve">Admissions Statistics </w:t>
      </w:r>
    </w:p>
    <w:p w:rsidR="004B7E28" w:rsidRPr="004B7E28" w:rsidRDefault="00994925" w:rsidP="004B7E28">
      <w:pPr>
        <w:spacing w:before="100" w:beforeAutospacing="1" w:after="100" w:afterAutospacing="1" w:line="300" w:lineRule="atLeast"/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</w:pPr>
      <w:r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>F</w:t>
      </w:r>
      <w:r w:rsidRPr="004B7E28"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>or the first time ever</w:t>
      </w:r>
      <w:r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 xml:space="preserve">, college acceptance </w:t>
      </w:r>
      <w:r w:rsidR="004B7E28" w:rsidRPr="004B7E28"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 xml:space="preserve">rates dropped as low as 5.05%. </w:t>
      </w:r>
      <w:r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>T</w:t>
      </w:r>
      <w:r w:rsidR="004B7E28" w:rsidRPr="004B7E28">
        <w:rPr>
          <w:rFonts w:ascii="Trebuchet MS" w:eastAsia="Times New Roman" w:hAnsi="Trebuchet MS" w:cs="Arial"/>
          <w:color w:val="333333"/>
          <w:sz w:val="20"/>
          <w:szCs w:val="20"/>
          <w:lang w:val="en-US" w:eastAsia="it-IT"/>
        </w:rPr>
        <w:t>he most selective schools were Harvard University (5.3%) in Cambridge, MA, Stanford University (5.05%) in Palo Alto, CA, Yale University (6.5%) in New Haven, CT, and Columbia University (6.1%) in New York, NY.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470"/>
        <w:gridCol w:w="1013"/>
        <w:gridCol w:w="1116"/>
        <w:gridCol w:w="1116"/>
        <w:gridCol w:w="1013"/>
      </w:tblGrid>
      <w:tr w:rsidR="004B7E28" w:rsidRPr="004B7E28" w:rsidTr="004B7E28">
        <w:tc>
          <w:tcPr>
            <w:tcW w:w="0" w:type="auto"/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  <w:t xml:space="preserve">School 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  <w:t>2015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  <w:t>2014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  <w:t>2013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b/>
                <w:bCs/>
                <w:color w:val="222222"/>
                <w:sz w:val="21"/>
                <w:szCs w:val="21"/>
                <w:lang w:val="it-IT" w:eastAsia="it-IT"/>
              </w:rPr>
              <w:t xml:space="preserve">2005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Amherst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13.7%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13.67%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18%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Boston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33.6%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38%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Brown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8.5%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8.6%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9.2%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16%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Columbia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6.94%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6.89%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12%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Cornell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14.8%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15.2%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31%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Dartmouth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10.3%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11.5%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18%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Duke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10.7%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11.6%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George Washington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45.5%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43.3%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33.4%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39%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Georgetown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Harvard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5.79%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11%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Massachusetts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Institute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Technology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7.7%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8.2%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16%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Middlebury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19.21%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New York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30.7%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33.6%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30.3%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32%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Northwestern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13.9%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Pomona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9.7%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12.14%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12.89%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19%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Princeton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7.28%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7.29%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10%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Stanford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5.05%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5.07%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5.69%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13%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Swarthmore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14.05%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25%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lastRenderedPageBreak/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California -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Berkeley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20.8%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27%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Michigan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33%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63%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Notre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Dame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20.79%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22.3%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29%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Pennsylvania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9.9%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9.9%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12.10%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29%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Southern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California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17.8%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19.68%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27%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of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Virginia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28.5%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28.9%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29%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39%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Vanderbilt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12.7%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40%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en-US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en-US" w:eastAsia="it-IT"/>
              </w:rPr>
              <w:t xml:space="preserve">Washington University in St. Louis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17.12%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15.01%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20%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Wesleyan</w:t>
            </w:r>
            <w:proofErr w:type="spellEnd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23.2%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19.37%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28%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Williams College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18.2%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16.88%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21% </w:t>
            </w:r>
          </w:p>
        </w:tc>
      </w:tr>
      <w:tr w:rsidR="004B7E28" w:rsidRPr="004B7E28" w:rsidTr="004B7E28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 xml:space="preserve">Yale </w:t>
            </w:r>
            <w:proofErr w:type="spellStart"/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6.26%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6.72%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7E28" w:rsidRPr="004B7E28" w:rsidRDefault="004B7E28" w:rsidP="004B7E28">
            <w:pPr>
              <w:spacing w:after="375" w:line="240" w:lineRule="auto"/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</w:pPr>
            <w:r w:rsidRPr="004B7E28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val="it-IT" w:eastAsia="it-IT"/>
              </w:rPr>
              <w:t>11%</w:t>
            </w:r>
          </w:p>
        </w:tc>
      </w:tr>
    </w:tbl>
    <w:p w:rsidR="002277A5" w:rsidRDefault="002277A5"/>
    <w:sectPr w:rsidR="002277A5" w:rsidSect="00227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E28"/>
    <w:rsid w:val="002277A5"/>
    <w:rsid w:val="00270A2C"/>
    <w:rsid w:val="004B7E28"/>
    <w:rsid w:val="00994925"/>
    <w:rsid w:val="00A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7A5"/>
    <w:rPr>
      <w:lang w:val="fr-FR"/>
    </w:rPr>
  </w:style>
  <w:style w:type="paragraph" w:styleId="Titolo2">
    <w:name w:val="heading 2"/>
    <w:basedOn w:val="Normale"/>
    <w:link w:val="Titolo2Carattere"/>
    <w:uiPriority w:val="9"/>
    <w:qFormat/>
    <w:rsid w:val="004B7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2782E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B7E28"/>
    <w:rPr>
      <w:rFonts w:ascii="Times New Roman" w:eastAsia="Times New Roman" w:hAnsi="Times New Roman" w:cs="Times New Roman"/>
      <w:b/>
      <w:bCs/>
      <w:color w:val="32782E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4</cp:revision>
  <cp:lastPrinted>2015-05-18T12:11:00Z</cp:lastPrinted>
  <dcterms:created xsi:type="dcterms:W3CDTF">2015-05-18T12:09:00Z</dcterms:created>
  <dcterms:modified xsi:type="dcterms:W3CDTF">2015-05-18T12:17:00Z</dcterms:modified>
</cp:coreProperties>
</file>